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908" w:rsidRDefault="00FC5908" w:rsidP="00FC590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Streszczenie </w:t>
      </w:r>
    </w:p>
    <w:p w:rsidR="00FC5908" w:rsidRDefault="00FC5908" w:rsidP="00FC5908">
      <w:pPr>
        <w:pStyle w:val="Default"/>
        <w:rPr>
          <w:color w:val="auto"/>
          <w:sz w:val="23"/>
          <w:szCs w:val="23"/>
        </w:rPr>
      </w:pPr>
      <w:r>
        <w:rPr>
          <w:sz w:val="23"/>
          <w:szCs w:val="23"/>
        </w:rPr>
        <w:t xml:space="preserve">Oporność na środki przeciwdrobnoustrojowe (AMR, </w:t>
      </w:r>
      <w:proofErr w:type="spellStart"/>
      <w:r>
        <w:rPr>
          <w:sz w:val="23"/>
          <w:szCs w:val="23"/>
        </w:rPr>
        <w:t>antimicrobial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resistance</w:t>
      </w:r>
      <w:proofErr w:type="spellEnd"/>
      <w:r>
        <w:rPr>
          <w:sz w:val="23"/>
          <w:szCs w:val="23"/>
        </w:rPr>
        <w:t xml:space="preserve">) stanowi jedno z najpoważniejszych wyzwań współczesnej medycyny. Tempo wprowadzania do praktyki klinicznej nowych leków nie nadąża za tempem selekcji mikroorganizmów (głównie bakterii i grzybów) niewrażliwych na stosowane aktualnie chemioterapeutyki przeciwdrobnoustrojowe. Stwarza to pilną potrzebę identyfikacji i opracowania nowych, alternatywnych i przede wszystkim skutecznych metod terapii chorób infekcyjnych. Ciekawym i bardzo zróżnicowanym, aczkolwiek ciągle niedocenianym rezerwuarem substancji o aktywności przeciwdrobnoustrojowej są produkty naturalne. Zawierają one wiele składników o unikalnej budowie chemicznej (zdecydowanie różniącej się od stosowanych aktualnie leków) charakteryzujących się wysoką aktywnością </w:t>
      </w:r>
      <w:bookmarkStart w:id="0" w:name="_GoBack"/>
      <w:bookmarkEnd w:id="0"/>
      <w:r>
        <w:rPr>
          <w:color w:val="auto"/>
          <w:sz w:val="23"/>
          <w:szCs w:val="23"/>
        </w:rPr>
        <w:t xml:space="preserve">przeciwbakteryjną i/lub przeciwgrzybową oraz pożądanymi właściwościami użytkowymi (np. dobrą rozpuszczalnością w wodzie, niską cytotoksycznością). W ciągu ostatnich dwóch dekad nastąpił wyraźny ponowny wzrost zainteresowania potencjałem przeciwdrobnoustrojowym produktów naturalnych, w tym także produktów pszczelich. Badania z ostatnich lat wskazują, że na szczególną uwagę zasługuje także </w:t>
      </w:r>
      <w:proofErr w:type="spellStart"/>
      <w:r>
        <w:rPr>
          <w:color w:val="auto"/>
          <w:sz w:val="23"/>
          <w:szCs w:val="23"/>
        </w:rPr>
        <w:t>mikrobiota</w:t>
      </w:r>
      <w:proofErr w:type="spellEnd"/>
      <w:r>
        <w:rPr>
          <w:color w:val="auto"/>
          <w:sz w:val="23"/>
          <w:szCs w:val="23"/>
        </w:rPr>
        <w:t xml:space="preserve"> tych produktów – populacja zasiedlających je szczepów mikroorganizmów. Głównym celem niniejszej rozprawy doktorskiej była systematyczna ocena potencjału przeciwdrobnoustrojowego </w:t>
      </w:r>
      <w:proofErr w:type="spellStart"/>
      <w:r>
        <w:rPr>
          <w:color w:val="auto"/>
          <w:sz w:val="23"/>
          <w:szCs w:val="23"/>
        </w:rPr>
        <w:t>mikrobioty</w:t>
      </w:r>
      <w:proofErr w:type="spellEnd"/>
      <w:r>
        <w:rPr>
          <w:color w:val="auto"/>
          <w:sz w:val="23"/>
          <w:szCs w:val="23"/>
        </w:rPr>
        <w:t xml:space="preserve"> związanej z trzema produktami pszczelimi: miodem, pyłkiem oraz pierzgą. Aktywność przeciwdrobnoustrojową metabolitów szczepów bakteryjnych wyizolowanych z ww. produktów oceniano za pomocą metody </w:t>
      </w:r>
      <w:proofErr w:type="spellStart"/>
      <w:r>
        <w:rPr>
          <w:color w:val="auto"/>
          <w:sz w:val="23"/>
          <w:szCs w:val="23"/>
        </w:rPr>
        <w:t>rozcieńczeniowej</w:t>
      </w:r>
      <w:proofErr w:type="spellEnd"/>
      <w:r>
        <w:rPr>
          <w:color w:val="auto"/>
          <w:sz w:val="23"/>
          <w:szCs w:val="23"/>
        </w:rPr>
        <w:t xml:space="preserve"> - ustalenie wartości minimalnego stężenia hamującego – MIC oraz za pomocą metody </w:t>
      </w:r>
      <w:proofErr w:type="spellStart"/>
      <w:r>
        <w:rPr>
          <w:color w:val="auto"/>
          <w:sz w:val="23"/>
          <w:szCs w:val="23"/>
        </w:rPr>
        <w:t>dyfuzyjno</w:t>
      </w:r>
      <w:proofErr w:type="spellEnd"/>
      <w:r>
        <w:rPr>
          <w:color w:val="auto"/>
          <w:sz w:val="23"/>
          <w:szCs w:val="23"/>
        </w:rPr>
        <w:t xml:space="preserve">-krążkowej – pomiar stref zahamowania wzrostu. Potencjał </w:t>
      </w:r>
      <w:proofErr w:type="spellStart"/>
      <w:r>
        <w:rPr>
          <w:color w:val="auto"/>
          <w:sz w:val="23"/>
          <w:szCs w:val="23"/>
        </w:rPr>
        <w:t>probiotyczny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izolatów</w:t>
      </w:r>
      <w:proofErr w:type="spellEnd"/>
      <w:r>
        <w:rPr>
          <w:color w:val="auto"/>
          <w:sz w:val="23"/>
          <w:szCs w:val="23"/>
        </w:rPr>
        <w:t xml:space="preserve"> oceniano na podstawie wyników testów tolerancji warunków panujących w układzie pokarmowym człowieka (np. niskie </w:t>
      </w:r>
      <w:proofErr w:type="spellStart"/>
      <w:r>
        <w:rPr>
          <w:color w:val="auto"/>
          <w:sz w:val="23"/>
          <w:szCs w:val="23"/>
        </w:rPr>
        <w:t>pH</w:t>
      </w:r>
      <w:proofErr w:type="spellEnd"/>
      <w:r>
        <w:rPr>
          <w:color w:val="auto"/>
          <w:sz w:val="23"/>
          <w:szCs w:val="23"/>
        </w:rPr>
        <w:t xml:space="preserve"> i obecność soli kwasów żółciowych) i ewentualnych zagrożeń dla pacjentów (np. lekooporność, aktywność hemolityczna). Analizy genomów wybranych </w:t>
      </w:r>
      <w:proofErr w:type="spellStart"/>
      <w:r>
        <w:rPr>
          <w:color w:val="auto"/>
          <w:sz w:val="23"/>
          <w:szCs w:val="23"/>
        </w:rPr>
        <w:t>izolatów</w:t>
      </w:r>
      <w:proofErr w:type="spellEnd"/>
      <w:r>
        <w:rPr>
          <w:color w:val="auto"/>
          <w:sz w:val="23"/>
          <w:szCs w:val="23"/>
        </w:rPr>
        <w:t xml:space="preserve"> (głównie bakterii z rodzaju </w:t>
      </w:r>
      <w:proofErr w:type="spellStart"/>
      <w:r>
        <w:rPr>
          <w:i/>
          <w:iCs/>
          <w:color w:val="auto"/>
          <w:sz w:val="23"/>
          <w:szCs w:val="23"/>
        </w:rPr>
        <w:t>Bacillus</w:t>
      </w:r>
      <w:proofErr w:type="spellEnd"/>
      <w:r>
        <w:rPr>
          <w:i/>
          <w:iCs/>
          <w:color w:val="auto"/>
          <w:sz w:val="23"/>
          <w:szCs w:val="23"/>
        </w:rPr>
        <w:t xml:space="preserve"> </w:t>
      </w:r>
      <w:proofErr w:type="spellStart"/>
      <w:r>
        <w:rPr>
          <w:color w:val="auto"/>
          <w:sz w:val="23"/>
          <w:szCs w:val="23"/>
        </w:rPr>
        <w:t>spp</w:t>
      </w:r>
      <w:proofErr w:type="spellEnd"/>
      <w:r>
        <w:rPr>
          <w:color w:val="auto"/>
          <w:sz w:val="23"/>
          <w:szCs w:val="23"/>
        </w:rPr>
        <w:t xml:space="preserve">.) potwierdziły ich potencjał do syntezy substancji o aktywności przeciwdrobnoustrojowej. W genomie każdego z badanych szczepów zidentyfikowano operony „odpowiedzialne” za syntezę szerokiego spektrum metabolitów: </w:t>
      </w:r>
      <w:proofErr w:type="spellStart"/>
      <w:r>
        <w:rPr>
          <w:color w:val="auto"/>
          <w:sz w:val="23"/>
          <w:szCs w:val="23"/>
        </w:rPr>
        <w:t>lipopeptydów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poliketydów</w:t>
      </w:r>
      <w:proofErr w:type="spellEnd"/>
      <w:r>
        <w:rPr>
          <w:color w:val="auto"/>
          <w:sz w:val="23"/>
          <w:szCs w:val="23"/>
        </w:rPr>
        <w:t xml:space="preserve">, </w:t>
      </w:r>
      <w:proofErr w:type="spellStart"/>
      <w:r>
        <w:rPr>
          <w:color w:val="auto"/>
          <w:sz w:val="23"/>
          <w:szCs w:val="23"/>
        </w:rPr>
        <w:t>syderoforów</w:t>
      </w:r>
      <w:proofErr w:type="spellEnd"/>
      <w:r>
        <w:rPr>
          <w:color w:val="auto"/>
          <w:sz w:val="23"/>
          <w:szCs w:val="23"/>
        </w:rPr>
        <w:t xml:space="preserve">, peptydów syntetyzowanych </w:t>
      </w:r>
      <w:proofErr w:type="spellStart"/>
      <w:r>
        <w:rPr>
          <w:color w:val="auto"/>
          <w:sz w:val="23"/>
          <w:szCs w:val="23"/>
        </w:rPr>
        <w:t>rybosomalnie</w:t>
      </w:r>
      <w:proofErr w:type="spellEnd"/>
      <w:r>
        <w:rPr>
          <w:color w:val="auto"/>
          <w:sz w:val="23"/>
          <w:szCs w:val="23"/>
        </w:rPr>
        <w:t xml:space="preserve"> i modyfikowanych </w:t>
      </w:r>
      <w:proofErr w:type="spellStart"/>
      <w:r>
        <w:rPr>
          <w:color w:val="auto"/>
          <w:sz w:val="23"/>
          <w:szCs w:val="23"/>
        </w:rPr>
        <w:t>potranslacyjnie</w:t>
      </w:r>
      <w:proofErr w:type="spellEnd"/>
      <w:r>
        <w:rPr>
          <w:color w:val="auto"/>
          <w:sz w:val="23"/>
          <w:szCs w:val="23"/>
        </w:rPr>
        <w:t xml:space="preserve"> o aktywności przeciwbakteryjnej i/lub przeciwgrzybowej. Dzięki zdolności do wytwarzania powyższych związków badane </w:t>
      </w:r>
      <w:proofErr w:type="spellStart"/>
      <w:r>
        <w:rPr>
          <w:color w:val="auto"/>
          <w:sz w:val="23"/>
          <w:szCs w:val="23"/>
        </w:rPr>
        <w:t>izolaty</w:t>
      </w:r>
      <w:proofErr w:type="spellEnd"/>
      <w:r>
        <w:rPr>
          <w:color w:val="auto"/>
          <w:sz w:val="23"/>
          <w:szCs w:val="23"/>
        </w:rPr>
        <w:t xml:space="preserve"> wykazały znaczną aktywność hamującą wzrost ważnych patogenów ludzi i zwierząt, w tym </w:t>
      </w:r>
      <w:proofErr w:type="spellStart"/>
      <w:r>
        <w:rPr>
          <w:i/>
          <w:iCs/>
          <w:color w:val="auto"/>
          <w:sz w:val="23"/>
          <w:szCs w:val="23"/>
        </w:rPr>
        <w:t>Staphylococcus</w:t>
      </w:r>
      <w:proofErr w:type="spellEnd"/>
      <w:r>
        <w:rPr>
          <w:i/>
          <w:iCs/>
          <w:color w:val="auto"/>
          <w:sz w:val="23"/>
          <w:szCs w:val="23"/>
        </w:rPr>
        <w:t xml:space="preserve"> </w:t>
      </w:r>
      <w:proofErr w:type="spellStart"/>
      <w:r>
        <w:rPr>
          <w:i/>
          <w:iCs/>
          <w:color w:val="auto"/>
          <w:sz w:val="23"/>
          <w:szCs w:val="23"/>
        </w:rPr>
        <w:t>aureus</w:t>
      </w:r>
      <w:proofErr w:type="spellEnd"/>
      <w:r>
        <w:rPr>
          <w:i/>
          <w:iCs/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i </w:t>
      </w:r>
      <w:proofErr w:type="spellStart"/>
      <w:r>
        <w:rPr>
          <w:i/>
          <w:iCs/>
          <w:color w:val="auto"/>
          <w:sz w:val="23"/>
          <w:szCs w:val="23"/>
        </w:rPr>
        <w:t>Listeria</w:t>
      </w:r>
      <w:proofErr w:type="spellEnd"/>
      <w:r>
        <w:rPr>
          <w:i/>
          <w:iCs/>
          <w:color w:val="auto"/>
          <w:sz w:val="23"/>
          <w:szCs w:val="23"/>
        </w:rPr>
        <w:t xml:space="preserve"> </w:t>
      </w:r>
      <w:proofErr w:type="spellStart"/>
      <w:r>
        <w:rPr>
          <w:i/>
          <w:iCs/>
          <w:color w:val="auto"/>
          <w:sz w:val="23"/>
          <w:szCs w:val="23"/>
        </w:rPr>
        <w:t>monocytogenes</w:t>
      </w:r>
      <w:proofErr w:type="spellEnd"/>
      <w:r>
        <w:rPr>
          <w:color w:val="auto"/>
          <w:sz w:val="23"/>
          <w:szCs w:val="23"/>
        </w:rPr>
        <w:t xml:space="preserve">. W przypadku wyodrębnionych z miodu </w:t>
      </w:r>
      <w:proofErr w:type="spellStart"/>
      <w:r>
        <w:rPr>
          <w:color w:val="auto"/>
          <w:sz w:val="23"/>
          <w:szCs w:val="23"/>
        </w:rPr>
        <w:t>izolatów</w:t>
      </w:r>
      <w:proofErr w:type="spellEnd"/>
      <w:r>
        <w:rPr>
          <w:color w:val="auto"/>
          <w:sz w:val="23"/>
          <w:szCs w:val="23"/>
        </w:rPr>
        <w:t xml:space="preserve"> </w:t>
      </w:r>
      <w:proofErr w:type="spellStart"/>
      <w:r>
        <w:rPr>
          <w:i/>
          <w:iCs/>
          <w:color w:val="auto"/>
          <w:sz w:val="23"/>
          <w:szCs w:val="23"/>
        </w:rPr>
        <w:t>Bacillus</w:t>
      </w:r>
      <w:proofErr w:type="spellEnd"/>
      <w:r>
        <w:rPr>
          <w:i/>
          <w:iCs/>
          <w:color w:val="auto"/>
          <w:sz w:val="23"/>
          <w:szCs w:val="23"/>
        </w:rPr>
        <w:t xml:space="preserve"> </w:t>
      </w:r>
      <w:proofErr w:type="spellStart"/>
      <w:r>
        <w:rPr>
          <w:i/>
          <w:iCs/>
          <w:color w:val="auto"/>
          <w:sz w:val="23"/>
          <w:szCs w:val="23"/>
        </w:rPr>
        <w:t>paralicheniformis</w:t>
      </w:r>
      <w:proofErr w:type="spellEnd"/>
      <w:r>
        <w:rPr>
          <w:i/>
          <w:iCs/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SZA16 i SZA14 scharakteryzowano nowy dwuskładnikowy </w:t>
      </w:r>
      <w:proofErr w:type="spellStart"/>
      <w:r>
        <w:rPr>
          <w:color w:val="auto"/>
          <w:sz w:val="23"/>
          <w:szCs w:val="23"/>
        </w:rPr>
        <w:t>lantybiotyk</w:t>
      </w:r>
      <w:proofErr w:type="spellEnd"/>
      <w:r>
        <w:rPr>
          <w:color w:val="auto"/>
          <w:sz w:val="23"/>
          <w:szCs w:val="23"/>
        </w:rPr>
        <w:t xml:space="preserve"> - </w:t>
      </w:r>
      <w:proofErr w:type="spellStart"/>
      <w:r>
        <w:rPr>
          <w:color w:val="auto"/>
          <w:sz w:val="23"/>
          <w:szCs w:val="23"/>
        </w:rPr>
        <w:t>paralichenidynę</w:t>
      </w:r>
      <w:proofErr w:type="spellEnd"/>
      <w:r>
        <w:rPr>
          <w:color w:val="auto"/>
          <w:sz w:val="23"/>
          <w:szCs w:val="23"/>
        </w:rPr>
        <w:t xml:space="preserve">. Wyniki uzyskane w trakcie realizacji pracy jednoznacznie wskazują, że </w:t>
      </w:r>
      <w:proofErr w:type="spellStart"/>
      <w:r>
        <w:rPr>
          <w:color w:val="auto"/>
          <w:sz w:val="23"/>
          <w:szCs w:val="23"/>
        </w:rPr>
        <w:t>mikrobiota</w:t>
      </w:r>
      <w:proofErr w:type="spellEnd"/>
      <w:r>
        <w:rPr>
          <w:color w:val="auto"/>
          <w:sz w:val="23"/>
          <w:szCs w:val="23"/>
        </w:rPr>
        <w:t xml:space="preserve"> produktów pszczelich stanowi cenne i wciąż niedostatecznie poznane źródło metabolitów o znacznym potencjale przeciwdrobnoustrojowym, które zasługują na dalsze badania w kontekście opracowywania nowych strategii terapeutycznych przeciwko patogennym bakteriom i grzybom w tym szczepom lekoopornym. Rezultaty przedstawionych badań zostały opublikowane w pięciu recenzowanych artykułach naukowych. </w:t>
      </w:r>
    </w:p>
    <w:p w:rsidR="00B02FF7" w:rsidRDefault="00FC5908" w:rsidP="00FC5908">
      <w:r>
        <w:rPr>
          <w:b/>
          <w:bCs/>
          <w:sz w:val="23"/>
          <w:szCs w:val="23"/>
        </w:rPr>
        <w:t>Słowa kluczowe</w:t>
      </w:r>
      <w:r>
        <w:rPr>
          <w:sz w:val="23"/>
          <w:szCs w:val="23"/>
        </w:rPr>
        <w:t xml:space="preserve">: Bee Products, </w:t>
      </w:r>
      <w:proofErr w:type="spellStart"/>
      <w:r>
        <w:rPr>
          <w:sz w:val="23"/>
          <w:szCs w:val="23"/>
        </w:rPr>
        <w:t>Microbiota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Resistance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Honey</w:t>
      </w:r>
      <w:proofErr w:type="spellEnd"/>
      <w:r>
        <w:rPr>
          <w:sz w:val="23"/>
          <w:szCs w:val="23"/>
        </w:rPr>
        <w:t xml:space="preserve">, Bee pollen, Bee </w:t>
      </w:r>
      <w:proofErr w:type="spellStart"/>
      <w:r>
        <w:rPr>
          <w:sz w:val="23"/>
          <w:szCs w:val="23"/>
        </w:rPr>
        <w:t>bread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Bacteriocins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Lantibiotics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i/>
          <w:iCs/>
          <w:sz w:val="23"/>
          <w:szCs w:val="23"/>
        </w:rPr>
        <w:t>Staphylococcus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spp</w:t>
      </w:r>
      <w:proofErr w:type="spellEnd"/>
      <w:r>
        <w:rPr>
          <w:sz w:val="23"/>
          <w:szCs w:val="23"/>
        </w:rPr>
        <w:t>.,</w:t>
      </w:r>
    </w:p>
    <w:sectPr w:rsidR="00B02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908"/>
    <w:rsid w:val="00B02FF7"/>
    <w:rsid w:val="00FC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FB7EF"/>
  <w15:chartTrackingRefBased/>
  <w15:docId w15:val="{E5048644-B9E3-4C91-8D4A-1D1967DE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C5908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491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</dc:creator>
  <cp:keywords/>
  <dc:description/>
  <cp:lastModifiedBy>Urszula</cp:lastModifiedBy>
  <cp:revision>1</cp:revision>
  <dcterms:created xsi:type="dcterms:W3CDTF">2026-09-04T06:36:00Z</dcterms:created>
  <dcterms:modified xsi:type="dcterms:W3CDTF">2026-09-04T06:37:00Z</dcterms:modified>
</cp:coreProperties>
</file>